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SMLOUVA O POSKYTOVÁNÍ SLUŽEB č.</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b w:val="0"/>
          <w:sz w:val="20"/>
          <w:szCs w:val="20"/>
          <w:highlight w:val="yellow"/>
          <w:rtl w:val="0"/>
        </w:rPr>
        <w:t xml:space="preserve">číslo smlouvy</w:t>
      </w:r>
      <w:r w:rsidDel="00000000" w:rsidR="00000000" w:rsidRPr="00000000">
        <w:rPr>
          <w:rFonts w:ascii="Arial" w:cs="Arial" w:eastAsia="Arial" w:hAnsi="Arial"/>
          <w:b w:val="0"/>
          <w:sz w:val="20"/>
          <w:szCs w:val="20"/>
          <w:rtl w:val="0"/>
        </w:rPr>
        <w:t xml:space="preserve">]</w:t>
      </w:r>
      <w:r w:rsidDel="00000000" w:rsidR="00000000" w:rsidRPr="00000000">
        <w:rPr>
          <w:rtl w:val="0"/>
        </w:rPr>
      </w:r>
    </w:p>
    <w:p w:rsidR="00000000" w:rsidDel="00000000" w:rsidP="00000000" w:rsidRDefault="00000000" w:rsidRPr="00000000" w14:paraId="00000002">
      <w:pPr>
        <w:spacing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Smlouva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uzavřená níže uvedeného dne mezi následujícími smluvními stranami:</w:t>
      </w:r>
    </w:p>
    <w:p w:rsidR="00000000" w:rsidDel="00000000" w:rsidP="00000000" w:rsidRDefault="00000000" w:rsidRPr="00000000" w14:paraId="00000004">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 SERVICES SE </w:t>
      </w:r>
    </w:p>
    <w:p w:rsidR="00000000" w:rsidDel="00000000" w:rsidP="00000000" w:rsidRDefault="00000000" w:rsidRPr="00000000" w14:paraId="0000000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IČO: 24238953</w:t>
      </w:r>
    </w:p>
    <w:p w:rsidR="00000000" w:rsidDel="00000000" w:rsidP="00000000" w:rsidRDefault="00000000" w:rsidRPr="00000000" w14:paraId="0000000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 sídlem Washingtonova 1624/5, Nové Město, 110 00 Praha 1</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zapsaná v obchodním rejstříku vedeném u Městského soudu v Praze pod sp. zn. H 850</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Poskytovatel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p>
    <w:p w:rsidR="00000000" w:rsidDel="00000000" w:rsidP="00000000" w:rsidRDefault="00000000" w:rsidRPr="00000000" w14:paraId="0000000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datum narození / IČO:...........................................</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bytem / se sídlem:........................................................................................</w:t>
        <w:br w:type="textWrapping"/>
        <w:t xml:space="preserve">………………………………………………………………………………..</w:t>
      </w:r>
    </w:p>
    <w:p w:rsidR="00000000" w:rsidDel="00000000" w:rsidP="00000000" w:rsidRDefault="00000000" w:rsidRPr="00000000" w14:paraId="0000000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(dále také jako „</w:t>
      </w:r>
      <w:r w:rsidDel="00000000" w:rsidR="00000000" w:rsidRPr="00000000">
        <w:rPr>
          <w:rFonts w:ascii="Arial" w:cs="Arial" w:eastAsia="Arial" w:hAnsi="Arial"/>
          <w:b w:val="1"/>
          <w:sz w:val="20"/>
          <w:szCs w:val="20"/>
          <w:rtl w:val="0"/>
        </w:rPr>
        <w:t xml:space="preserve">Klient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E">
      <w:pPr>
        <w:pStyle w:val="Heading1"/>
        <w:numPr>
          <w:ilvl w:val="0"/>
          <w:numId w:val="2"/>
        </w:numPr>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Všeobecné obchodní podmínky</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se řídí ustanoveními Všeobecnými obchodními podmínky pro housing a správu hardware (dále také jako „</w:t>
      </w:r>
      <w:r w:rsidDel="00000000" w:rsidR="00000000" w:rsidRPr="00000000">
        <w:rPr>
          <w:rFonts w:ascii="Arial" w:cs="Arial" w:eastAsia="Arial" w:hAnsi="Arial"/>
          <w:b w:val="1"/>
          <w:color w:val="000000"/>
          <w:sz w:val="20"/>
          <w:szCs w:val="20"/>
          <w:rtl w:val="0"/>
        </w:rPr>
        <w:t xml:space="preserve">VOP</w:t>
      </w:r>
      <w:r w:rsidDel="00000000" w:rsidR="00000000" w:rsidRPr="00000000">
        <w:rPr>
          <w:rFonts w:ascii="Arial" w:cs="Arial" w:eastAsia="Arial" w:hAnsi="Arial"/>
          <w:color w:val="000000"/>
          <w:sz w:val="20"/>
          <w:szCs w:val="20"/>
          <w:rtl w:val="0"/>
        </w:rPr>
        <w:t xml:space="preserve">“) vydanými Poskytovatelem, které jsou nedílnou součástí této Smlouvy. Pojmy s počátečním velkým písmenem použité ve Smlouvě mají význam popsaný ve VOP. Poskytovatel je oprávněn VOP změnit způsobem stanoveným ve VOP.</w:t>
      </w:r>
    </w:p>
    <w:p w:rsidR="00000000" w:rsidDel="00000000" w:rsidP="00000000" w:rsidRDefault="00000000" w:rsidRPr="00000000" w14:paraId="00000010">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Specifikace Hardware</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Smlouva se sjednává ve vztahu k následujícím zařízením:</w:t>
      </w:r>
    </w:p>
    <w:tbl>
      <w:tblPr>
        <w:tblStyle w:val="Table1"/>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6"/>
        <w:gridCol w:w="4587"/>
        <w:tblGridChange w:id="0">
          <w:tblGrid>
            <w:gridCol w:w="4586"/>
            <w:gridCol w:w="4587"/>
          </w:tblGrid>
        </w:tblGridChange>
      </w:tblGrid>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A">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Výtěžek náležející Klientovi a cena za poskytování služby</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 základě poskytování služby housingu a správy Hardware v souladu s touto Smlouvou a VOP bude Hardware těžit kryptoaktiva a generovat tak určitý výtěžek kryptoaktiv, přičemž smluvní strany se dohodly, že Klient má nárok na část výtěžku a Poskytovatel má nárok na část výtěžku, který představuje cenu za poskytování příslušné služby, a to následovně:</w:t>
      </w:r>
    </w:p>
    <w:tbl>
      <w:tblPr>
        <w:tblStyle w:val="Table2"/>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561"/>
        <w:gridCol w:w="2691"/>
        <w:gridCol w:w="3220"/>
        <w:tblGridChange w:id="0">
          <w:tblGrid>
            <w:gridCol w:w="1701"/>
            <w:gridCol w:w="1561"/>
            <w:gridCol w:w="2691"/>
            <w:gridCol w:w="3220"/>
          </w:tblGrid>
        </w:tblGridChange>
      </w:tblGrid>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Výtěžek náležející Klientovi</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259"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v % z výtěžku těžby</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Výtěžek náležející Poskytovateli (cena za poskytování služby)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v % z výtěžku těžby</w:t>
            </w:r>
            <w:r w:rsidDel="00000000" w:rsidR="00000000" w:rsidRPr="00000000">
              <w:rPr>
                <w:rtl w:val="0"/>
              </w:rPr>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20" w:line="259"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ind w:left="567" w:firstLine="0"/>
        <w:rPr>
          <w:rFonts w:ascii="Arial" w:cs="Arial" w:eastAsia="Arial" w:hAnsi="Arial"/>
          <w:color w:val="6aa84f"/>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567" w:firstLine="0"/>
        <w:rPr>
          <w:rFonts w:ascii="Arial" w:cs="Arial" w:eastAsia="Arial" w:hAnsi="Arial"/>
          <w:color w:val="6aa84f"/>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567" w:firstLine="0"/>
        <w:rPr>
          <w:rFonts w:ascii="Arial" w:cs="Arial" w:eastAsia="Arial" w:hAnsi="Arial"/>
          <w:color w:val="6aa84f"/>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567" w:firstLine="0"/>
        <w:rPr>
          <w:rFonts w:ascii="Arial" w:cs="Arial" w:eastAsia="Arial" w:hAnsi="Arial"/>
          <w:color w:val="6aa84f"/>
          <w:sz w:val="20"/>
          <w:szCs w:val="20"/>
        </w:rPr>
      </w:pPr>
      <w:r w:rsidDel="00000000" w:rsidR="00000000" w:rsidRPr="00000000">
        <w:rPr>
          <w:rtl w:val="0"/>
        </w:rPr>
      </w:r>
    </w:p>
    <w:p w:rsidR="00000000" w:rsidDel="00000000" w:rsidP="00000000" w:rsidRDefault="00000000" w:rsidRPr="00000000" w14:paraId="00000032">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Cena za poskytování dodávEK elektrické energie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Cena za poskytování dodávek elektrické energie byla sjednána následovně:</w:t>
      </w:r>
    </w:p>
    <w:tbl>
      <w:tblPr>
        <w:tblStyle w:val="Table3"/>
        <w:tblW w:w="9173.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1701"/>
        <w:gridCol w:w="5062"/>
        <w:tblGridChange w:id="0">
          <w:tblGrid>
            <w:gridCol w:w="2410"/>
            <w:gridCol w:w="1701"/>
            <w:gridCol w:w="5062"/>
          </w:tblGrid>
        </w:tblGridChange>
      </w:tblGrid>
      <w:tr>
        <w:trPr>
          <w:cantSplit w:val="0"/>
          <w:tblHeader w:val="0"/>
        </w:trPr>
        <w:tc>
          <w:tcPr/>
          <w:p w:rsidR="00000000" w:rsidDel="00000000" w:rsidP="00000000" w:rsidRDefault="00000000" w:rsidRPr="00000000" w14:paraId="00000034">
            <w:pPr>
              <w:keepNext w:val="1"/>
              <w:keepLines w:val="1"/>
              <w:pBdr>
                <w:top w:space="0" w:sz="0" w:val="nil"/>
                <w:left w:space="0" w:sz="0" w:val="nil"/>
                <w:bottom w:space="0" w:sz="0" w:val="nil"/>
                <w:right w:space="0" w:sz="0" w:val="nil"/>
                <w:between w:space="0" w:sz="0" w:val="nil"/>
              </w:pBdr>
              <w:spacing w:before="120" w:line="259"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Zařízení</w:t>
            </w:r>
          </w:p>
        </w:tc>
        <w:tc>
          <w:tcPr/>
          <w:p w:rsidR="00000000" w:rsidDel="00000000" w:rsidP="00000000" w:rsidRDefault="00000000" w:rsidRPr="00000000" w14:paraId="00000035">
            <w:pPr>
              <w:keepNext w:val="1"/>
              <w:keepLines w:val="1"/>
              <w:pBdr>
                <w:top w:space="0" w:sz="0" w:val="nil"/>
                <w:left w:space="0" w:sz="0" w:val="nil"/>
                <w:bottom w:space="0" w:sz="0" w:val="nil"/>
                <w:right w:space="0" w:sz="0" w:val="nil"/>
                <w:between w:space="0" w:sz="0" w:val="nil"/>
              </w:pBdr>
              <w:spacing w:before="12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Počet kusů</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20" w:line="259"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Cena za dodávky energie</w:t>
            </w:r>
          </w:p>
        </w:tc>
      </w:tr>
      <w:tr>
        <w:trPr>
          <w:cantSplit w:val="0"/>
          <w:tblHeader w:val="0"/>
        </w:trPr>
        <w:tc>
          <w:tcPr/>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spacing w:before="120"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Rule="auto"/>
              <w:jc w:val="left"/>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20" w:line="259" w:lineRule="auto"/>
              <w:jc w:val="lef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Klient bere na vědomí, že cena za dodávky elektrické energie v Datovém centru je sjednávána pro určené období a je garantována vždy pouze pro toto předplacené období, přičemž cena za dodávky elektrické energie mezi obdobími, resp. po uplynutí předplaceného období, se může a pravděpodobně i bude po dobu trvání Smlouvy měnit.</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567" w:firstLine="0"/>
        <w:rPr>
          <w:rFonts w:ascii="Arial" w:cs="Arial" w:eastAsia="Arial" w:hAnsi="Arial"/>
          <w:color w:val="4a86e8"/>
          <w:sz w:val="20"/>
          <w:szCs w:val="20"/>
        </w:rPr>
      </w:pPr>
      <w:r w:rsidDel="00000000" w:rsidR="00000000" w:rsidRPr="00000000">
        <w:rPr>
          <w:rFonts w:ascii="Arial" w:cs="Arial" w:eastAsia="Arial" w:hAnsi="Arial"/>
          <w:color w:val="000000"/>
          <w:sz w:val="20"/>
          <w:szCs w:val="20"/>
          <w:rtl w:val="0"/>
        </w:rPr>
        <w:t xml:space="preserve">Cena za dodávky elektrické energie pro první stanovené období činí celkem </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USD a je splatná nejpozději do 3 pracovních dnů od uzavření této Smlouvy. Nedojde-li k úhradě ceny za dodávky elektrické energie pro první stanovené období ve lhůtě dle předchozí věty, je Poskytovatel oprávněn odstoupit od této Smlouvy. Odstoupení od Smlouvy je v takovém případě účinné okamžikem doručení odstoupení Klientovi. Odstoupení může Poskytovatel učinit i formou elektronické komunikace, zejména e-mailem.</w:t>
      </w:r>
      <w:r w:rsidDel="00000000" w:rsidR="00000000" w:rsidRPr="00000000">
        <w:rPr>
          <w:rtl w:val="0"/>
        </w:rPr>
      </w:r>
    </w:p>
    <w:p w:rsidR="00000000" w:rsidDel="00000000" w:rsidP="00000000" w:rsidRDefault="00000000" w:rsidRPr="00000000" w14:paraId="00000042">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Cena za ad-hoc služby</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Služby, které nejsou průběžně či pravidelně poskytovány v souvislosti s housingem a správou Hardware (např. cena servisu a oprav Hardware nad rámec předplacených oprav dojednaných s Dodavatelem, nebo odeslání Hardware z Datového centra do místa určeného Klientem v případě ukončení Smlouvy nebo zaslání Hardware na opravu) nejsou zahrnuty v ceně za poskytování služeb a budou účtovány a hrazeny na základě samostatné dohody smluvních stran podle článku 10.4 VOP.</w:t>
      </w:r>
    </w:p>
    <w:p w:rsidR="00000000" w:rsidDel="00000000" w:rsidP="00000000" w:rsidRDefault="00000000" w:rsidRPr="00000000" w14:paraId="00000044">
      <w:pPr>
        <w:pStyle w:val="Heading1"/>
        <w:numPr>
          <w:ilvl w:val="0"/>
          <w:numId w:val="2"/>
        </w:numPr>
        <w:spacing w:before="120" w:lineRule="auto"/>
        <w:ind w:left="567"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GARANCE PŘÍJMU PŘI PORUŠE ZAŘÍZENÍ</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567" w:firstLine="0"/>
        <w:rPr>
          <w:rFonts w:ascii="Arial" w:cs="Arial" w:eastAsia="Arial" w:hAnsi="Arial"/>
          <w:color w:val="4a86e8"/>
          <w:sz w:val="20"/>
          <w:szCs w:val="20"/>
        </w:rPr>
      </w:pPr>
      <w:r w:rsidDel="00000000" w:rsidR="00000000" w:rsidRPr="00000000">
        <w:rPr>
          <w:rFonts w:ascii="Arial" w:cs="Arial" w:eastAsia="Arial" w:hAnsi="Arial"/>
          <w:color w:val="000000"/>
          <w:sz w:val="20"/>
          <w:szCs w:val="20"/>
          <w:rtl w:val="0"/>
        </w:rPr>
        <w:t xml:space="preserve">Dojde-li k vadě Hardware a Klient poskytne souhlas s podmínkami opravy v souladu s čl. 8.10 VOP, tak v případě, že opravovaný Hardware bude v mimo provoz více než 5 dní, má Klient od 6. dne, kdy je opravovaný Hardware mimo provoz, resp. ve statusu „offline“, nárok na náhradu </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 % výtěžku Hardware, a to až do doby, kdy bude Hardware opraven a zapojen do sítě, resp. těžby. Výtěžek Hardware pro výpočet náhrady dle předchozí věty představuje výsledek profitability při zadání parametrů Hardware (tj. zejména algoritmus a Hasrate) do kalkulačky profitability podle hashrate umístěné na webové stránce nicehash.com. Poskytovatel zašle příslušnou náhradu výtěžku na virtuální peněženku Klienta uvedenou ve Smlouvě. Nárok na náhradu výtěžku Hardware podle tohoto článku Smlouvy má Klient nejdéle po dobu 30 dnů od 6. dne, kdy je opravovaný Hardware mimo provoz, nedohodnou-li se Smluvní strany písemně jinak. </w:t>
      </w:r>
      <w:r w:rsidDel="00000000" w:rsidR="00000000" w:rsidRPr="00000000">
        <w:rPr>
          <w:rtl w:val="0"/>
        </w:rPr>
      </w:r>
    </w:p>
    <w:p w:rsidR="00000000" w:rsidDel="00000000" w:rsidP="00000000" w:rsidRDefault="00000000" w:rsidRPr="00000000" w14:paraId="00000046">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Zvláštní ujednání o úhradě ceny </w:t>
      </w:r>
      <w:r w:rsidDel="00000000" w:rsidR="00000000" w:rsidRPr="00000000">
        <w:rPr>
          <w:rFonts w:ascii="Arial" w:cs="Arial" w:eastAsia="Arial" w:hAnsi="Arial"/>
          <w:sz w:val="20"/>
          <w:szCs w:val="20"/>
          <w:rtl w:val="0"/>
        </w:rPr>
        <w:t xml:space="preserve">kryptoaktivem</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se v souladu s článkem 11.4 VOP dohodly na úhradě ceny prostřednictvím kryptoaktiva [</w:t>
      </w:r>
      <w:r w:rsidDel="00000000" w:rsidR="00000000" w:rsidRPr="00000000">
        <w:rPr>
          <w:rFonts w:ascii="Arial" w:cs="Arial" w:eastAsia="Arial" w:hAnsi="Arial"/>
          <w:color w:val="000000"/>
          <w:sz w:val="20"/>
          <w:szCs w:val="20"/>
          <w:highlight w:val="yellow"/>
          <w:rtl w:val="0"/>
        </w:rPr>
        <w:t xml:space="preserve">označení kryptoaktiva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Cena bude hrazena na virtuální peněženku Poskytovatele s následující adresou:</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highlight w:val="yellow"/>
          <w:rtl w:val="0"/>
        </w:rPr>
        <w:t xml:space="preserve">adresa virtuální peněženky Poskytovatele – řetězec nebo QR kód, případně obojí</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A">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Základní podmínky provozu</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se v souladu s článkem 8.2 VOP dohodly na základních podmínkách provozu Hardware následovně:</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1701"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Těžené kryptoaktivum: [</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1701"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Kryptoaktivum, v němž bude vyplácen výnos z těžby: bitcoin (BTC)</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before="120" w:lineRule="auto"/>
        <w:ind w:left="1701"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Adresa pro poukazování výtěžku Klienta podle čl. 3 Smlouvy: [</w:t>
      </w:r>
      <w:r w:rsidDel="00000000" w:rsidR="00000000" w:rsidRPr="00000000">
        <w:rPr>
          <w:rFonts w:ascii="Arial" w:cs="Arial" w:eastAsia="Arial" w:hAnsi="Arial"/>
          <w:color w:val="000000"/>
          <w:sz w:val="20"/>
          <w:szCs w:val="20"/>
          <w:highlight w:val="yellow"/>
          <w:rtl w:val="0"/>
        </w:rPr>
        <w:t xml:space="preserve">adresa virtuální peněženky Klienta – řetězec nebo QR kód, případně obojí</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4F">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Plná moc</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Klient tímto pro plnění účelu této Smlouvy uděluje Poskytovateli plnou moc k jednání za Klienta ve všech věcech souvisejících s housingem a správou Hardware v souladu s touto Smlouvou, zejména k převzetí Hardware od Dodavatele, umístění Hardware do Datového centra, jednání s Dodavatelem v případě záručních i pozáručních oprav, jednání se všemi třetími osobami v případě oprav Hardware, přemístění Hardware či jiným nakládáním s Hardware pro plnění účelu této Smlouvy, jakož i ke všem dalším jednáním nutným pro plnění účelu této Smlouvy.</w:t>
      </w:r>
    </w:p>
    <w:p w:rsidR="00000000" w:rsidDel="00000000" w:rsidP="00000000" w:rsidRDefault="00000000" w:rsidRPr="00000000" w14:paraId="00000051">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Kontaktní údaje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uvádějí následující kontaktní údaje pro vzájemnou komunikaci v souladu s čl.12.1 VOP:</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Poskytovatel:</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Adresa:</w:t>
        <w:tab/>
        <w:t xml:space="preserve">[</w:t>
      </w:r>
      <w:r w:rsidDel="00000000" w:rsidR="00000000" w:rsidRPr="00000000">
        <w:rPr>
          <w:rFonts w:ascii="Arial" w:cs="Arial" w:eastAsia="Arial" w:hAnsi="Arial"/>
          <w:color w:val="000000"/>
          <w:sz w:val="20"/>
          <w:szCs w:val="20"/>
          <w:highlight w:val="yellow"/>
          <w:rtl w:val="0"/>
        </w:rPr>
        <w:t xml:space="preserve">Poštovní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w:t>
        <w:tab/>
        <w:t xml:space="preserve">[</w:t>
      </w:r>
      <w:r w:rsidDel="00000000" w:rsidR="00000000" w:rsidRPr="00000000">
        <w:rPr>
          <w:rFonts w:ascii="Arial" w:cs="Arial" w:eastAsia="Arial" w:hAnsi="Arial"/>
          <w:color w:val="000000"/>
          <w:sz w:val="20"/>
          <w:szCs w:val="20"/>
          <w:highlight w:val="yellow"/>
          <w:rtl w:val="0"/>
        </w:rPr>
        <w:t xml:space="preserve">E-mailová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w:t>
        <w:tab/>
        <w:t xml:space="preserve">[</w:t>
      </w:r>
      <w:r w:rsidDel="00000000" w:rsidR="00000000" w:rsidRPr="00000000">
        <w:rPr>
          <w:rFonts w:ascii="Arial" w:cs="Arial" w:eastAsia="Arial" w:hAnsi="Arial"/>
          <w:color w:val="000000"/>
          <w:sz w:val="20"/>
          <w:szCs w:val="20"/>
          <w:highlight w:val="yellow"/>
          <w:rtl w:val="0"/>
        </w:rPr>
        <w:t xml:space="preserve">Telefon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851" w:hanging="284"/>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Klient:</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Adresa:</w:t>
        <w:tab/>
        <w:t xml:space="preserve">[</w:t>
      </w:r>
      <w:r w:rsidDel="00000000" w:rsidR="00000000" w:rsidRPr="00000000">
        <w:rPr>
          <w:rFonts w:ascii="Arial" w:cs="Arial" w:eastAsia="Arial" w:hAnsi="Arial"/>
          <w:color w:val="000000"/>
          <w:sz w:val="20"/>
          <w:szCs w:val="20"/>
          <w:highlight w:val="yellow"/>
          <w:rtl w:val="0"/>
        </w:rPr>
        <w:t xml:space="preserve">Poštovní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w:t>
        <w:tab/>
        <w:t xml:space="preserve">[</w:t>
      </w:r>
      <w:r w:rsidDel="00000000" w:rsidR="00000000" w:rsidRPr="00000000">
        <w:rPr>
          <w:rFonts w:ascii="Arial" w:cs="Arial" w:eastAsia="Arial" w:hAnsi="Arial"/>
          <w:color w:val="000000"/>
          <w:sz w:val="20"/>
          <w:szCs w:val="20"/>
          <w:highlight w:val="yellow"/>
          <w:rtl w:val="0"/>
        </w:rPr>
        <w:t xml:space="preserve">E-mailová adresa</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240" w:lineRule="auto"/>
        <w:ind w:left="851" w:hanging="2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w:t>
        <w:tab/>
        <w:t xml:space="preserve">[</w:t>
      </w:r>
      <w:r w:rsidDel="00000000" w:rsidR="00000000" w:rsidRPr="00000000">
        <w:rPr>
          <w:rFonts w:ascii="Arial" w:cs="Arial" w:eastAsia="Arial" w:hAnsi="Arial"/>
          <w:color w:val="000000"/>
          <w:sz w:val="20"/>
          <w:szCs w:val="20"/>
          <w:highlight w:val="yellow"/>
          <w:rtl w:val="0"/>
        </w:rPr>
        <w:t xml:space="preserve">Telefon</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B">
      <w:pPr>
        <w:pStyle w:val="Heading1"/>
        <w:numPr>
          <w:ilvl w:val="0"/>
          <w:numId w:val="2"/>
        </w:numPr>
        <w:spacing w:before="120" w:lineRule="auto"/>
        <w:ind w:left="567" w:hanging="567"/>
        <w:rPr>
          <w:rFonts w:ascii="Arial" w:cs="Arial" w:eastAsia="Arial" w:hAnsi="Arial"/>
          <w:sz w:val="20"/>
          <w:szCs w:val="20"/>
        </w:rPr>
      </w:pPr>
      <w:r w:rsidDel="00000000" w:rsidR="00000000" w:rsidRPr="00000000">
        <w:rPr>
          <w:rFonts w:ascii="Arial" w:cs="Arial" w:eastAsia="Arial" w:hAnsi="Arial"/>
          <w:sz w:val="20"/>
          <w:szCs w:val="20"/>
          <w:rtl w:val="0"/>
        </w:rPr>
        <w:t xml:space="preserve">závěrečná ustanovení</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nabývá platnosti dnem jejího podpisu oběma smluvními stranami a účinnosti okamžikem podle čl. 4.2 VOP.</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se v souladu s čl. 15.1 VOP uzavírá na dobu určitou v délce trvání 3 let ode dne uvedení Hardware do provozu podle čl. 5.4 VOP.</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Tato Smlouva je vyhotovena ve 2 stejnopisech v jazyce českém, s platností originálu, z nichž po jednom obdrží každá ze smluvních stran.</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Tuto Smlouvu lze měnit a doplňovat pouze písemně, a to vzestupně číslovanými dodatky podepsanými oběma smluvními stranami.</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Smluvní strany prohlašují, že si tuto Smlouvu i VOP přečetly, Smlouvě i VOP porozuměly a na důkaz souhlasu se Smlouvou a VOP připojují své podpisy.</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20" w:lineRule="auto"/>
        <w:ind w:left="56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Dne</w:t>
        <w:tab/>
        <w:tab/>
        <w:tab/>
        <w:tab/>
        <w:tab/>
        <w:tab/>
        <w:t xml:space="preserve">Dne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Poskytovatel </w:t>
        <w:tab/>
        <w:tab/>
        <w:tab/>
        <w:tab/>
        <w:tab/>
        <w:t xml:space="preserve">Klient</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D.I.C. SERVICES SE</w:t>
        <w:tab/>
      </w:r>
      <w:r w:rsidDel="00000000" w:rsidR="00000000" w:rsidRPr="00000000">
        <w:rPr>
          <w:rFonts w:ascii="Arial" w:cs="Arial" w:eastAsia="Arial" w:hAnsi="Arial"/>
          <w:color w:val="000000"/>
          <w:sz w:val="20"/>
          <w:szCs w:val="20"/>
          <w:rtl w:val="0"/>
        </w:rPr>
        <w:tab/>
        <w:tab/>
        <w:tab/>
        <w:t xml:space="preserve">[</w:t>
      </w:r>
      <w:r w:rsidDel="00000000" w:rsidR="00000000" w:rsidRPr="00000000">
        <w:rPr>
          <w:rFonts w:ascii="Arial" w:cs="Arial" w:eastAsia="Arial" w:hAnsi="Arial"/>
          <w:color w:val="000000"/>
          <w:sz w:val="20"/>
          <w:szCs w:val="20"/>
          <w:highlight w:val="yellow"/>
          <w:rtl w:val="0"/>
        </w:rPr>
        <w:t xml:space="preserve">BUDE DOPLNĚNO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rPr>
          <w:rFonts w:ascii="Arial" w:cs="Arial" w:eastAsia="Arial" w:hAnsi="Arial"/>
          <w:color w:val="4a86e8"/>
          <w:sz w:val="20"/>
          <w:szCs w:val="20"/>
        </w:rPr>
      </w:pPr>
      <w:r w:rsidDel="00000000" w:rsidR="00000000" w:rsidRPr="00000000">
        <w:rPr>
          <w:rtl w:val="0"/>
        </w:rPr>
      </w:r>
    </w:p>
    <w:sectPr>
      <w:footerReference r:id="rId7"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tabs>
        <w:tab w:val="center" w:leader="none" w:pos="4153"/>
        <w:tab w:val="right" w:leader="none" w:pos="8306"/>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851" w:hanging="851"/>
      </w:pPr>
      <w:rPr/>
    </w:lvl>
    <w:lvl w:ilvl="1">
      <w:start w:val="1"/>
      <w:numFmt w:val="decimal"/>
      <w:lvlText w:val="%1.%2"/>
      <w:lvlJc w:val="left"/>
      <w:pPr>
        <w:ind w:left="851" w:hanging="851"/>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lowerLetter"/>
      <w:lvlText w:val="(%5)"/>
      <w:lvlJc w:val="left"/>
      <w:pPr>
        <w:ind w:left="851" w:hanging="851"/>
      </w:pPr>
      <w:rPr/>
    </w:lvl>
    <w:lvl w:ilvl="5">
      <w:start w:val="1"/>
      <w:numFmt w:val="lowerRoman"/>
      <w:lvlText w:val="(%6)"/>
      <w:lvlJc w:val="left"/>
      <w:pPr>
        <w:ind w:left="851" w:hanging="851"/>
      </w:pPr>
      <w:rPr/>
    </w:lvl>
    <w:lvl w:ilvl="6">
      <w:start w:val="1"/>
      <w:numFmt w:val="decimal"/>
      <w:lvlText w:val="%7."/>
      <w:lvlJc w:val="left"/>
      <w:pPr>
        <w:ind w:left="851" w:hanging="851"/>
      </w:pPr>
      <w:rPr/>
    </w:lvl>
    <w:lvl w:ilvl="7">
      <w:start w:val="1"/>
      <w:numFmt w:val="lowerLetter"/>
      <w:lvlText w:val="%8."/>
      <w:lvlJc w:val="left"/>
      <w:pPr>
        <w:ind w:left="851" w:hanging="851"/>
      </w:pPr>
      <w:rPr/>
    </w:lvl>
    <w:lvl w:ilvl="8">
      <w:start w:val="1"/>
      <w:numFmt w:val="lowerRoman"/>
      <w:lvlText w:val="%9."/>
      <w:lvlJc w:val="left"/>
      <w:pPr>
        <w:ind w:left="851" w:hanging="85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cs-CZ"/>
      </w:rPr>
    </w:rPrDefault>
    <w:pPrDefault>
      <w:pPr>
        <w:spacing w:after="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b w:val="1"/>
      <w:sz w:val="32"/>
      <w:szCs w:val="32"/>
    </w:rPr>
  </w:style>
  <w:style w:type="paragraph" w:styleId="Normln" w:default="1">
    <w:name w:val="Normal"/>
    <w:qFormat w:val="1"/>
    <w:rsid w:val="005D4DDD"/>
    <w:rPr>
      <w:rFonts w:ascii="Helvetica" w:hAnsi="Helvetica"/>
    </w:rPr>
  </w:style>
  <w:style w:type="paragraph" w:styleId="Nadpis1">
    <w:name w:val="heading 1"/>
    <w:basedOn w:val="Normln"/>
    <w:next w:val="Normlnodsazen"/>
    <w:link w:val="Nadpis1Char"/>
    <w:uiPriority w:val="9"/>
    <w:qFormat w:val="1"/>
    <w:rsid w:val="005D4DDD"/>
    <w:pPr>
      <w:keepNext w:val="1"/>
      <w:keepLines w:val="1"/>
      <w:spacing w:before="240"/>
      <w:outlineLvl w:val="0"/>
    </w:pPr>
    <w:rPr>
      <w:rFonts w:cstheme="majorBidi" w:eastAsiaTheme="majorEastAsia"/>
      <w:b w:val="1"/>
      <w:caps w:val="1"/>
      <w:szCs w:val="32"/>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5D4DDD"/>
    <w:pPr>
      <w:spacing w:after="0" w:line="240" w:lineRule="auto"/>
      <w:contextualSpacing w:val="1"/>
      <w:jc w:val="center"/>
    </w:pPr>
    <w:rPr>
      <w:rFonts w:cstheme="majorBidi" w:eastAsiaTheme="majorEastAsia"/>
      <w:b w:val="1"/>
      <w:spacing w:val="-10"/>
      <w:kern w:val="28"/>
      <w:sz w:val="32"/>
      <w:szCs w:val="56"/>
    </w:rPr>
  </w:style>
  <w:style w:type="table" w:styleId="TableNormal0" w:customStyle="1">
    <w:name w:val="Table Normal"/>
    <w:tblPr>
      <w:tblCellMar>
        <w:top w:w="0.0" w:type="dxa"/>
        <w:left w:w="0.0" w:type="dxa"/>
        <w:bottom w:w="0.0" w:type="dxa"/>
        <w:right w:w="0.0" w:type="dxa"/>
      </w:tblCellMar>
    </w:tblPr>
  </w:style>
  <w:style w:type="character" w:styleId="Nadpis1Char" w:customStyle="1">
    <w:name w:val="Nadpis 1 Char"/>
    <w:basedOn w:val="Standardnpsmoodstavce"/>
    <w:link w:val="Nadpis1"/>
    <w:uiPriority w:val="9"/>
    <w:rsid w:val="005D4DDD"/>
    <w:rPr>
      <w:rFonts w:ascii="Helvetica" w:hAnsi="Helvetica" w:cstheme="majorBidi" w:eastAsiaTheme="majorEastAsia"/>
      <w:b w:val="1"/>
      <w:caps w:val="1"/>
      <w:kern w:val="0"/>
      <w:szCs w:val="32"/>
    </w:rPr>
  </w:style>
  <w:style w:type="character" w:styleId="NzevChar" w:customStyle="1">
    <w:name w:val="Název Char"/>
    <w:basedOn w:val="Standardnpsmoodstavce"/>
    <w:link w:val="Nzev"/>
    <w:uiPriority w:val="10"/>
    <w:rsid w:val="005D4DDD"/>
    <w:rPr>
      <w:rFonts w:ascii="Helvetica" w:hAnsi="Helvetica" w:cstheme="majorBidi" w:eastAsiaTheme="majorEastAsia"/>
      <w:b w:val="1"/>
      <w:spacing w:val="-10"/>
      <w:kern w:val="28"/>
      <w:sz w:val="32"/>
      <w:szCs w:val="56"/>
    </w:rPr>
  </w:style>
  <w:style w:type="table" w:styleId="Mkatabulky">
    <w:name w:val="Table Grid"/>
    <w:basedOn w:val="Normlntabulka"/>
    <w:uiPriority w:val="39"/>
    <w:rsid w:val="005D4D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lnodsazen">
    <w:name w:val="Normal Indent"/>
    <w:basedOn w:val="Normln"/>
    <w:uiPriority w:val="99"/>
    <w:unhideWhenUsed w:val="1"/>
    <w:rsid w:val="005D4DDD"/>
    <w:pPr>
      <w:ind w:left="851"/>
    </w:pPr>
  </w:style>
  <w:style w:type="paragraph" w:styleId="Zhlav">
    <w:name w:val="header"/>
    <w:basedOn w:val="Normln"/>
    <w:link w:val="ZhlavChar"/>
    <w:uiPriority w:val="99"/>
    <w:unhideWhenUsed w:val="1"/>
    <w:rsid w:val="00CD509A"/>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CD509A"/>
    <w:rPr>
      <w:rFonts w:ascii="Helvetica" w:hAnsi="Helvetica"/>
      <w:kern w:val="0"/>
    </w:rPr>
  </w:style>
  <w:style w:type="paragraph" w:styleId="Zpat">
    <w:name w:val="footer"/>
    <w:basedOn w:val="Normln"/>
    <w:link w:val="ZpatChar"/>
    <w:uiPriority w:val="99"/>
    <w:unhideWhenUsed w:val="1"/>
    <w:rsid w:val="00CD509A"/>
    <w:pPr>
      <w:tabs>
        <w:tab w:val="center" w:pos="4536"/>
        <w:tab w:val="right" w:pos="9072"/>
      </w:tabs>
      <w:spacing w:after="0" w:line="240" w:lineRule="auto"/>
    </w:pPr>
  </w:style>
  <w:style w:type="character" w:styleId="ZpatChar" w:customStyle="1">
    <w:name w:val="Zápatí Char"/>
    <w:basedOn w:val="Standardnpsmoodstavce"/>
    <w:link w:val="Zpat"/>
    <w:uiPriority w:val="99"/>
    <w:rsid w:val="00CD509A"/>
    <w:rPr>
      <w:rFonts w:ascii="Helvetica" w:hAnsi="Helvetica"/>
      <w:kern w:val="0"/>
    </w:rPr>
  </w:style>
  <w:style w:type="paragraph" w:styleId="Revize">
    <w:name w:val="Revision"/>
    <w:hidden w:val="1"/>
    <w:uiPriority w:val="99"/>
    <w:semiHidden w:val="1"/>
    <w:rsid w:val="009A7894"/>
    <w:pPr>
      <w:spacing w:after="0" w:line="240" w:lineRule="auto"/>
    </w:pPr>
    <w:rPr>
      <w:rFonts w:ascii="Helvetica" w:hAnsi="Helvetica"/>
    </w:rPr>
  </w:style>
  <w:style w:type="character" w:styleId="Odkaznakoment">
    <w:name w:val="annotation reference"/>
    <w:basedOn w:val="Standardnpsmoodstavce"/>
    <w:uiPriority w:val="99"/>
    <w:semiHidden w:val="1"/>
    <w:unhideWhenUsed w:val="1"/>
    <w:rsid w:val="00117AF2"/>
    <w:rPr>
      <w:sz w:val="16"/>
      <w:szCs w:val="16"/>
    </w:rPr>
  </w:style>
  <w:style w:type="paragraph" w:styleId="Textkomente">
    <w:name w:val="annotation text"/>
    <w:basedOn w:val="Normln"/>
    <w:link w:val="TextkomenteChar"/>
    <w:uiPriority w:val="99"/>
    <w:unhideWhenUsed w:val="1"/>
    <w:rsid w:val="00117AF2"/>
    <w:pPr>
      <w:spacing w:line="240" w:lineRule="auto"/>
    </w:pPr>
    <w:rPr>
      <w:sz w:val="20"/>
      <w:szCs w:val="20"/>
    </w:rPr>
  </w:style>
  <w:style w:type="character" w:styleId="TextkomenteChar" w:customStyle="1">
    <w:name w:val="Text komentáře Char"/>
    <w:basedOn w:val="Standardnpsmoodstavce"/>
    <w:link w:val="Textkomente"/>
    <w:uiPriority w:val="99"/>
    <w:rsid w:val="00117AF2"/>
    <w:rPr>
      <w:rFonts w:ascii="Helvetica" w:hAnsi="Helvetica"/>
      <w:kern w:val="0"/>
      <w:sz w:val="20"/>
      <w:szCs w:val="20"/>
    </w:rPr>
  </w:style>
  <w:style w:type="paragraph" w:styleId="Pedmtkomente">
    <w:name w:val="annotation subject"/>
    <w:basedOn w:val="Textkomente"/>
    <w:next w:val="Textkomente"/>
    <w:link w:val="PedmtkomenteChar"/>
    <w:uiPriority w:val="99"/>
    <w:semiHidden w:val="1"/>
    <w:unhideWhenUsed w:val="1"/>
    <w:rsid w:val="00117AF2"/>
    <w:rPr>
      <w:b w:val="1"/>
      <w:bCs w:val="1"/>
    </w:rPr>
  </w:style>
  <w:style w:type="character" w:styleId="PedmtkomenteChar" w:customStyle="1">
    <w:name w:val="Předmět komentáře Char"/>
    <w:basedOn w:val="TextkomenteChar"/>
    <w:link w:val="Pedmtkomente"/>
    <w:uiPriority w:val="99"/>
    <w:semiHidden w:val="1"/>
    <w:rsid w:val="00117AF2"/>
    <w:rPr>
      <w:rFonts w:ascii="Helvetica" w:hAnsi="Helvetica"/>
      <w:b w:val="1"/>
      <w:bCs w:val="1"/>
      <w:kern w:val="0"/>
      <w:sz w:val="20"/>
      <w:szCs w:val="20"/>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8+x2hTwtW60kIl49Ao4N9mGLQ==">CgMxLjA4AHIhMTB4clRuYndzVk1TMC1DTU5fRUM4VS13aGhJNVAySkVP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2024-02-03T10:51:00Z</dcterms:created>
</cp:coreProperties>
</file>